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FB" w:rsidRPr="005F5447" w:rsidRDefault="00A12FFB" w:rsidP="00A12FFB">
      <w:pPr>
        <w:pStyle w:val="a4"/>
        <w:rPr>
          <w:i w:val="0"/>
          <w:color w:val="000000" w:themeColor="text1"/>
          <w:sz w:val="24"/>
          <w:szCs w:val="24"/>
        </w:rPr>
      </w:pPr>
      <w:r w:rsidRPr="00A12FFB">
        <w:rPr>
          <w:i w:val="0"/>
          <w:szCs w:val="28"/>
        </w:rPr>
        <w:t>Паспорт инвестиционного проекта</w:t>
      </w:r>
      <w:r>
        <w:rPr>
          <w:szCs w:val="28"/>
        </w:rPr>
        <w:t xml:space="preserve"> «</w:t>
      </w:r>
      <w:r>
        <w:rPr>
          <w:i w:val="0"/>
          <w:color w:val="000000" w:themeColor="text1"/>
          <w:sz w:val="24"/>
          <w:szCs w:val="24"/>
        </w:rPr>
        <w:t>Строительство теплоэлек</w:t>
      </w:r>
      <w:r w:rsidRPr="001442C2">
        <w:rPr>
          <w:i w:val="0"/>
          <w:color w:val="000000" w:themeColor="text1"/>
          <w:sz w:val="24"/>
          <w:szCs w:val="24"/>
        </w:rPr>
        <w:t xml:space="preserve">тростанции на базе </w:t>
      </w:r>
      <w:proofErr w:type="spellStart"/>
      <w:r w:rsidRPr="001442C2">
        <w:rPr>
          <w:i w:val="0"/>
          <w:color w:val="000000" w:themeColor="text1"/>
          <w:sz w:val="24"/>
          <w:szCs w:val="24"/>
        </w:rPr>
        <w:t>газопоршневых</w:t>
      </w:r>
      <w:proofErr w:type="spellEnd"/>
      <w:r w:rsidRPr="001442C2">
        <w:rPr>
          <w:i w:val="0"/>
          <w:color w:val="000000" w:themeColor="text1"/>
          <w:sz w:val="24"/>
          <w:szCs w:val="24"/>
        </w:rPr>
        <w:t xml:space="preserve"> </w:t>
      </w:r>
      <w:r>
        <w:rPr>
          <w:i w:val="0"/>
          <w:color w:val="000000" w:themeColor="text1"/>
          <w:sz w:val="24"/>
          <w:szCs w:val="24"/>
        </w:rPr>
        <w:t>агрегатов</w:t>
      </w:r>
      <w:r w:rsidRPr="001442C2">
        <w:rPr>
          <w:i w:val="0"/>
          <w:color w:val="000000" w:themeColor="text1"/>
          <w:sz w:val="24"/>
          <w:szCs w:val="24"/>
        </w:rPr>
        <w:t xml:space="preserve"> установленной электрической мощностью до 15 МВт</w:t>
      </w:r>
      <w:r>
        <w:rPr>
          <w:i w:val="0"/>
          <w:color w:val="000000" w:themeColor="text1"/>
          <w:sz w:val="24"/>
          <w:szCs w:val="24"/>
        </w:rPr>
        <w:t>»</w:t>
      </w:r>
    </w:p>
    <w:p w:rsidR="00F35B61" w:rsidRDefault="00F35B61" w:rsidP="00F35B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1"/>
      </w:tblGrid>
      <w:tr w:rsidR="00F35B61" w:rsidRPr="00375F86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проекта</w:t>
            </w:r>
          </w:p>
        </w:tc>
        <w:tc>
          <w:tcPr>
            <w:tcW w:w="4961" w:type="dxa"/>
          </w:tcPr>
          <w:p w:rsidR="00F35B61" w:rsidRPr="005F5447" w:rsidRDefault="009F2792" w:rsidP="009F2792">
            <w:pPr>
              <w:pStyle w:val="a4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Строительство теплоэлек</w:t>
            </w:r>
            <w:r w:rsidR="001442C2" w:rsidRPr="001442C2">
              <w:rPr>
                <w:i w:val="0"/>
                <w:color w:val="000000" w:themeColor="text1"/>
                <w:sz w:val="24"/>
                <w:szCs w:val="24"/>
              </w:rPr>
              <w:t xml:space="preserve">тростанции на базе </w:t>
            </w:r>
            <w:proofErr w:type="spellStart"/>
            <w:r w:rsidR="001442C2" w:rsidRPr="001442C2">
              <w:rPr>
                <w:i w:val="0"/>
                <w:color w:val="000000" w:themeColor="text1"/>
                <w:sz w:val="24"/>
                <w:szCs w:val="24"/>
              </w:rPr>
              <w:t>газопоршневых</w:t>
            </w:r>
            <w:proofErr w:type="spellEnd"/>
            <w:r w:rsidR="001442C2" w:rsidRPr="001442C2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 w:val="0"/>
                <w:color w:val="000000" w:themeColor="text1"/>
                <w:sz w:val="24"/>
                <w:szCs w:val="24"/>
              </w:rPr>
              <w:t>агрегатов</w:t>
            </w:r>
            <w:r w:rsidR="001442C2" w:rsidRPr="001442C2">
              <w:rPr>
                <w:i w:val="0"/>
                <w:color w:val="000000" w:themeColor="text1"/>
                <w:sz w:val="24"/>
                <w:szCs w:val="24"/>
              </w:rPr>
              <w:t xml:space="preserve"> установленной электрической мощностью до 15 МВт</w:t>
            </w:r>
          </w:p>
        </w:tc>
      </w:tr>
      <w:tr w:rsidR="00F35B61" w:rsidRPr="0001612D" w:rsidTr="00BF6140">
        <w:trPr>
          <w:trHeight w:val="2539"/>
        </w:trPr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основных объектов инфраструктуры</w:t>
            </w:r>
          </w:p>
        </w:tc>
        <w:tc>
          <w:tcPr>
            <w:tcW w:w="4961" w:type="dxa"/>
          </w:tcPr>
          <w:p w:rsidR="00150D67" w:rsidRDefault="00AF2A79" w:rsidP="00AF2A79">
            <w:pPr>
              <w:pStyle w:val="a4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AF2A79">
              <w:rPr>
                <w:i w:val="0"/>
                <w:color w:val="000000" w:themeColor="text1"/>
                <w:sz w:val="24"/>
                <w:szCs w:val="24"/>
              </w:rPr>
              <w:t>Энергоцентр</w:t>
            </w:r>
            <w:proofErr w:type="spellEnd"/>
            <w:r w:rsidRPr="00AF2A79">
              <w:rPr>
                <w:i w:val="0"/>
                <w:color w:val="000000" w:themeColor="text1"/>
                <w:sz w:val="24"/>
                <w:szCs w:val="24"/>
              </w:rPr>
              <w:t> ТЭС </w:t>
            </w:r>
            <w:r>
              <w:rPr>
                <w:i w:val="0"/>
                <w:color w:val="000000" w:themeColor="text1"/>
                <w:sz w:val="24"/>
                <w:szCs w:val="24"/>
              </w:rPr>
              <w:t>Тимашевск</w:t>
            </w:r>
            <w:r w:rsidRPr="00AF2A79">
              <w:rPr>
                <w:i w:val="0"/>
                <w:color w:val="000000" w:themeColor="text1"/>
                <w:sz w:val="24"/>
                <w:szCs w:val="24"/>
              </w:rPr>
              <w:t> состоит из:</w:t>
            </w:r>
          </w:p>
          <w:p w:rsidR="00AF2A79" w:rsidRPr="00150D67" w:rsidRDefault="00AF2A79" w:rsidP="00AF2A79">
            <w:pPr>
              <w:pStyle w:val="a4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AF2A79">
              <w:rPr>
                <w:i w:val="0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i w:val="0"/>
                <w:color w:val="000000" w:themeColor="text1"/>
                <w:sz w:val="24"/>
                <w:szCs w:val="24"/>
              </w:rPr>
              <w:t>2</w:t>
            </w:r>
            <w:r w:rsidRPr="00AF2A79">
              <w:rPr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2A79">
              <w:rPr>
                <w:i w:val="0"/>
                <w:color w:val="000000" w:themeColor="text1"/>
                <w:sz w:val="24"/>
                <w:szCs w:val="24"/>
              </w:rPr>
              <w:t>газопоршневых</w:t>
            </w:r>
            <w:proofErr w:type="spellEnd"/>
            <w:r w:rsidRPr="00AF2A79">
              <w:rPr>
                <w:i w:val="0"/>
                <w:color w:val="000000" w:themeColor="text1"/>
                <w:sz w:val="24"/>
                <w:szCs w:val="24"/>
              </w:rPr>
              <w:t xml:space="preserve"> агрегатов, </w:t>
            </w:r>
            <w:r>
              <w:rPr>
                <w:i w:val="0"/>
                <w:color w:val="000000" w:themeColor="text1"/>
                <w:sz w:val="24"/>
                <w:szCs w:val="24"/>
                <w:lang w:val="en-US"/>
              </w:rPr>
              <w:t>ECOMAX</w:t>
            </w:r>
            <w:r w:rsidRPr="00AF2A79">
              <w:rPr>
                <w:i w:val="0"/>
                <w:color w:val="000000" w:themeColor="text1"/>
                <w:sz w:val="24"/>
                <w:szCs w:val="24"/>
              </w:rPr>
              <w:t xml:space="preserve"> 30</w:t>
            </w:r>
            <w:r w:rsidR="00150D67">
              <w:rPr>
                <w:i w:val="0"/>
                <w:color w:val="000000" w:themeColor="text1"/>
                <w:sz w:val="24"/>
                <w:szCs w:val="24"/>
              </w:rPr>
              <w:t xml:space="preserve"> на базе </w:t>
            </w:r>
            <w:proofErr w:type="spellStart"/>
            <w:r w:rsidR="00150D67">
              <w:rPr>
                <w:i w:val="0"/>
                <w:color w:val="000000" w:themeColor="text1"/>
                <w:sz w:val="24"/>
                <w:szCs w:val="24"/>
              </w:rPr>
              <w:t>газопоршневой</w:t>
            </w:r>
            <w:proofErr w:type="spellEnd"/>
            <w:r w:rsidR="00150D67">
              <w:rPr>
                <w:i w:val="0"/>
                <w:color w:val="000000" w:themeColor="text1"/>
                <w:sz w:val="24"/>
                <w:szCs w:val="24"/>
              </w:rPr>
              <w:t xml:space="preserve"> установки </w:t>
            </w:r>
            <w:r w:rsidR="00150D67">
              <w:rPr>
                <w:i w:val="0"/>
                <w:color w:val="000000" w:themeColor="text1"/>
                <w:sz w:val="24"/>
                <w:szCs w:val="24"/>
                <w:lang w:val="en-US"/>
              </w:rPr>
              <w:t>Jenbacher</w:t>
            </w:r>
          </w:p>
          <w:p w:rsidR="00150D67" w:rsidRDefault="00AF2A79" w:rsidP="00150D67">
            <w:pPr>
              <w:pStyle w:val="a4"/>
              <w:jc w:val="left"/>
              <w:rPr>
                <w:i w:val="0"/>
                <w:color w:val="000000" w:themeColor="text1"/>
                <w:sz w:val="24"/>
                <w:szCs w:val="24"/>
              </w:rPr>
            </w:pPr>
            <w:r w:rsidRPr="00AF2A79">
              <w:rPr>
                <w:i w:val="0"/>
                <w:color w:val="000000" w:themeColor="text1"/>
                <w:sz w:val="24"/>
                <w:szCs w:val="24"/>
              </w:rPr>
              <w:t>- </w:t>
            </w:r>
            <w:proofErr w:type="spellStart"/>
            <w:r w:rsidRPr="00AF2A79">
              <w:rPr>
                <w:i w:val="0"/>
                <w:color w:val="000000" w:themeColor="text1"/>
                <w:sz w:val="24"/>
                <w:szCs w:val="24"/>
              </w:rPr>
              <w:t>блочно-одульное</w:t>
            </w:r>
            <w:proofErr w:type="spellEnd"/>
            <w:r w:rsidRPr="00AF2A79">
              <w:rPr>
                <w:i w:val="0"/>
                <w:color w:val="000000" w:themeColor="text1"/>
                <w:sz w:val="24"/>
                <w:szCs w:val="24"/>
              </w:rPr>
              <w:t> закрытое распределительное устройство (БМЗРУ);</w:t>
            </w:r>
          </w:p>
          <w:p w:rsidR="00F35B61" w:rsidRPr="005F5447" w:rsidRDefault="00AF2A79" w:rsidP="00150D67">
            <w:pPr>
              <w:pStyle w:val="a4"/>
              <w:jc w:val="left"/>
              <w:rPr>
                <w:color w:val="000000" w:themeColor="text1"/>
                <w:sz w:val="24"/>
                <w:szCs w:val="24"/>
              </w:rPr>
            </w:pPr>
            <w:r w:rsidRPr="00AF2A79">
              <w:rPr>
                <w:i w:val="0"/>
                <w:color w:val="000000" w:themeColor="text1"/>
                <w:sz w:val="24"/>
                <w:szCs w:val="24"/>
              </w:rPr>
              <w:t>- пультовая;</w:t>
            </w:r>
            <w:r w:rsidRPr="00AF2A79">
              <w:rPr>
                <w:i w:val="0"/>
                <w:color w:val="000000" w:themeColor="text1"/>
                <w:sz w:val="24"/>
                <w:szCs w:val="24"/>
              </w:rPr>
              <w:br/>
              <w:t>- тепловой пункт;</w:t>
            </w:r>
            <w:r w:rsidRPr="00AF2A79">
              <w:rPr>
                <w:i w:val="0"/>
                <w:color w:val="000000" w:themeColor="text1"/>
                <w:sz w:val="24"/>
                <w:szCs w:val="24"/>
              </w:rPr>
              <w:br/>
              <w:t>- газовое хозяйство.</w:t>
            </w:r>
          </w:p>
        </w:tc>
      </w:tr>
      <w:tr w:rsidR="00F35B61" w:rsidRPr="0001612D" w:rsidTr="00A12FFB">
        <w:trPr>
          <w:trHeight w:val="985"/>
        </w:trPr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Суть проекта</w:t>
            </w:r>
          </w:p>
        </w:tc>
        <w:tc>
          <w:tcPr>
            <w:tcW w:w="4961" w:type="dxa"/>
          </w:tcPr>
          <w:p w:rsidR="0064361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ТЭС Тимашевск - теплоэлектростанция установленной электрической мощностью 15МВт на базе ГПУ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Jenabcher</w:t>
            </w:r>
            <w:proofErr w:type="spellEnd"/>
            <w:r w:rsidRPr="00D4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конфигурацией </w:t>
            </w:r>
            <w:r w:rsidRPr="00D46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ГПУ по 3МВт. Месторасположение станции –</w:t>
            </w:r>
            <w:r w:rsidRPr="00D4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Тимашевск, ул. Гибридная 2Ф2. </w:t>
            </w:r>
          </w:p>
          <w:p w:rsidR="0064361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ТЭС Тимашевск планируется осуществить в 3 этапа:</w:t>
            </w:r>
          </w:p>
          <w:p w:rsidR="0064361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этап строительства 2 ГПУ по 3 МВт срок строительства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61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 строительства 2 ГПУ по 3 МВт срок строительства 2022-2023гг;</w:t>
            </w:r>
          </w:p>
          <w:p w:rsidR="0064361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 строительства 1 ГПУ 3 МВт, срок строительства 2024-2025гг.</w:t>
            </w:r>
          </w:p>
          <w:p w:rsidR="0064361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находится в стадии подготовительных работ к вводу в эксплуатацию 1-ой очереди ТЭС Тимашевск. </w:t>
            </w:r>
          </w:p>
          <w:p w:rsidR="0064361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2-й очереди запланирована в период 22-23 гг. Старт проекта 2-й очереди запланирован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Pr="00334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4361A" w:rsidRPr="004E398A" w:rsidRDefault="0064361A" w:rsidP="0064361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строительстве 3-й очереди ТЭС Тимашевск будет принято по результатам запуска 2-й очереди ТЭС. </w:t>
            </w:r>
          </w:p>
          <w:p w:rsidR="00F35B61" w:rsidRPr="00A12FFB" w:rsidRDefault="0064361A" w:rsidP="00A12FFB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Локация ТЭС выбрана с учетом большой концентрации производственных предприятий (Тетра Пак Кубань, Кондитерский комбинат Кубань, Нестле, Молочный комбинат и Комбинат детского 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Элит Рус, Кубань Акрилат,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Хлеб Кубани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осуществлять поставки электроэнергии напрямую потребителям по локальным кабельным линиям ТЭС.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Проектная мощность</w:t>
            </w:r>
          </w:p>
        </w:tc>
        <w:tc>
          <w:tcPr>
            <w:tcW w:w="4961" w:type="dxa"/>
          </w:tcPr>
          <w:p w:rsidR="00F35B61" w:rsidRPr="005F5447" w:rsidRDefault="009F2792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МВт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pStyle w:val="a6"/>
              <w:jc w:val="both"/>
              <w:rPr>
                <w:color w:val="000000" w:themeColor="text1"/>
                <w:szCs w:val="24"/>
              </w:rPr>
            </w:pPr>
            <w:r w:rsidRPr="005F5447">
              <w:rPr>
                <w:color w:val="000000" w:themeColor="text1"/>
                <w:szCs w:val="24"/>
              </w:rPr>
              <w:t>Конкурентные преимущества</w:t>
            </w:r>
          </w:p>
        </w:tc>
        <w:tc>
          <w:tcPr>
            <w:tcW w:w="4961" w:type="dxa"/>
          </w:tcPr>
          <w:p w:rsidR="00AF2A79" w:rsidRPr="00290F17" w:rsidRDefault="00AF2A79" w:rsidP="00AF2A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Краснодарский край является </w:t>
            </w:r>
            <w:proofErr w:type="spellStart"/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энергодефицитным</w:t>
            </w:r>
            <w:proofErr w:type="spellEnd"/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регионом РФ,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генерирующие мощности не обеспечива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ют рост потребления внутри края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Выработка электроэнергии в операционной зоне Кубанского РДУ за 2020 год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составила 10 628,1 млн кВт*ч, электропотребление – 27 420,5 млн кВт*ч- согласно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информации опубликованной на сайте АО «Системный оператор Единой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энергетической системы»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2015 года в Краснодарском крае наблюдалось превышение потребности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электроэнергии над ее производством в объеме 12565–15846 млн кВт*ч.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электроэнергии производился из соседних энергосистем Ставропольского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Ростовской области ОЭС Юга.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величины потребления электроэнергии в Краснодарском крае к 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достигнет 30,67 млрд кВт*ч, прирост за пять лет составит 3,4 млрд кВт*ч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среднегодовом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 прироста 2,71%.</w:t>
            </w:r>
          </w:p>
          <w:p w:rsidR="00AF2A79" w:rsidRPr="00290F17" w:rsidRDefault="00AF2A79" w:rsidP="00AF2A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стоимости 1 Квтч электроэнергии Краснодарский край входит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 РФ с самым высоким тарифом как для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и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лиц, при этом динамика роста стоимости конечного тарифа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 последние с 2018 года находиться на уровн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+6-7% ежегодно.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последние 3 года в конечной цене за 1 Квт*ч растет оплата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ктурную составляющую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именно все потребители платят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инвестиции в развитие так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называемой «зеленой энергетики»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2A79" w:rsidRPr="00290F17" w:rsidRDefault="00AF2A79" w:rsidP="00AF2A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рынок электроэнергетики работает на принципах так называемого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перекрестного субсидирования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это когда юридические лица имеют тариф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 выше чем физические,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 бизнес платит за население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A79" w:rsidRPr="00290F17" w:rsidRDefault="00AF2A79" w:rsidP="00AF2A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энергосистема является 100% пре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емницей социалистической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централизованной энергосистемы СССР,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когда строились большие ТЭС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 Сибири и по линиям электропередач эта электроэнергия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передавалась в центральные регионы страны, в социалистической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энергосистеме потерями на передачу пренебрегали. Из-за такой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централизованной энергосистемы потери в электрических сетях до сих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остаются на уровне 10-12%, за эти потери продолжает платить конечный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потребитель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A79" w:rsidRPr="00290F17" w:rsidRDefault="00AF2A79" w:rsidP="00AF2A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срок подключения новых потребителей в Краснодарском крае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 с запросом мощности подключения более 150Квт составляет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</w:t>
            </w:r>
          </w:p>
          <w:p w:rsidR="00AF2A79" w:rsidRPr="00290F17" w:rsidRDefault="00AF2A79" w:rsidP="00AF2A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Краснодарского края по состоянию на начало 2019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выше чем в среднем по РФ на 17,4%, но при этом он не превышал 85 %.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средневзвешенная стоимость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 за 1 Гкал в Краснодарском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крае составляет - 2072,6 руб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Конкурентные преимущества Тепло Электростанции на базе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90F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газопоршне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установок: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Цена за 1 Квт*ч электроэнергии – ниже рынка на 7-10%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Сроки технологического подключения к ТЭС – 5- 8 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потерь электроэнергии в инженерной инфраструктуре ТЭС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превышает 4 %;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Наличие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 как сопутствующего продукта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электроэнергии, что позволяет осуществлять реализацию 1 </w:t>
            </w:r>
            <w:proofErr w:type="spellStart"/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цене в 2 раза ниже 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Динамика роста цен на газ ниже чем динам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стоимости на электроэнергию;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 являемся гарантирующим поставщиком, что позволяет работать только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юр.лицами</w:t>
            </w:r>
            <w:proofErr w:type="spellEnd"/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ИП, не осуществляем поставк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населению по льготным тарифам;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 счет выстроенных бизнес направлений вертикально интегрированного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бизнеса предлагаем потребителям через одно окно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получить услугу от 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энергоснабжения до договора технологического подключения, также полностью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принимая на себя и содержание и эксплуатацию </w:t>
            </w:r>
            <w:proofErr w:type="spellStart"/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потребителей.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За счет подключения к инженерной инфраструктуре тепло электростанции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 повышает категорию надежности электроснабжения своего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предприятия, имея два или более независимых источников энергоснабжения,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тепло электростанция работает от газовых сетей, отключение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происходит значительно реже, чем аварии в единой энергосистеме региона.</w:t>
            </w:r>
          </w:p>
          <w:p w:rsidR="00334A04" w:rsidRPr="00290F17" w:rsidRDefault="00334A04" w:rsidP="00334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Тепло электростанция не замещает </w:t>
            </w:r>
            <w:proofErr w:type="spellStart"/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является альтернативой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отсутствия возможности подключения потребителей от 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энергосистемы региона.</w:t>
            </w:r>
          </w:p>
          <w:p w:rsidR="00F35B61" w:rsidRPr="005F5447" w:rsidRDefault="00F35B61" w:rsidP="0057773B">
            <w:pPr>
              <w:widowControl w:val="0"/>
              <w:shd w:val="clear" w:color="auto" w:fill="FFFFFF"/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pStyle w:val="4"/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5F5447">
              <w:rPr>
                <w:color w:val="000000" w:themeColor="text1"/>
                <w:szCs w:val="24"/>
              </w:rPr>
              <w:lastRenderedPageBreak/>
              <w:t>Срок реализации</w:t>
            </w:r>
          </w:p>
        </w:tc>
        <w:tc>
          <w:tcPr>
            <w:tcW w:w="4961" w:type="dxa"/>
          </w:tcPr>
          <w:p w:rsidR="00F35B61" w:rsidRPr="005F5447" w:rsidRDefault="009F2792" w:rsidP="0057773B">
            <w:pPr>
              <w:widowControl w:val="0"/>
              <w:shd w:val="clear" w:color="auto" w:fill="FFFFFF"/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2020-2025</w:t>
            </w:r>
          </w:p>
        </w:tc>
      </w:tr>
      <w:tr w:rsidR="00F35B61" w:rsidRPr="0001612D" w:rsidTr="00A12FFB">
        <w:trPr>
          <w:trHeight w:val="399"/>
        </w:trPr>
        <w:tc>
          <w:tcPr>
            <w:tcW w:w="4536" w:type="dxa"/>
          </w:tcPr>
          <w:p w:rsidR="00F35B61" w:rsidRPr="005F5447" w:rsidRDefault="00F35B61" w:rsidP="0057773B">
            <w:pPr>
              <w:pStyle w:val="4"/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5F5447">
              <w:rPr>
                <w:color w:val="000000" w:themeColor="text1"/>
                <w:szCs w:val="24"/>
              </w:rPr>
              <w:t>Рабочие места</w:t>
            </w:r>
          </w:p>
        </w:tc>
        <w:tc>
          <w:tcPr>
            <w:tcW w:w="4961" w:type="dxa"/>
          </w:tcPr>
          <w:p w:rsidR="00F35B61" w:rsidRPr="005F5447" w:rsidRDefault="00A12FFB" w:rsidP="0057773B">
            <w:pPr>
              <w:widowControl w:val="0"/>
              <w:shd w:val="clear" w:color="auto" w:fill="FFFFFF"/>
              <w:tabs>
                <w:tab w:val="left" w:pos="4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pStyle w:val="a6"/>
              <w:jc w:val="both"/>
              <w:rPr>
                <w:color w:val="000000" w:themeColor="text1"/>
                <w:szCs w:val="24"/>
              </w:rPr>
            </w:pPr>
            <w:r w:rsidRPr="005F5447">
              <w:rPr>
                <w:color w:val="000000" w:themeColor="text1"/>
                <w:szCs w:val="24"/>
              </w:rPr>
              <w:t>Общая стоимость проекта</w:t>
            </w:r>
          </w:p>
        </w:tc>
        <w:tc>
          <w:tcPr>
            <w:tcW w:w="4961" w:type="dxa"/>
          </w:tcPr>
          <w:p w:rsidR="00F35B61" w:rsidRPr="005F5447" w:rsidRDefault="00334A04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2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994</w:t>
            </w:r>
            <w:r w:rsidR="005F5447" w:rsidRPr="00A12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pStyle w:val="a6"/>
              <w:jc w:val="both"/>
              <w:rPr>
                <w:color w:val="000000" w:themeColor="text1"/>
                <w:szCs w:val="24"/>
              </w:rPr>
            </w:pPr>
            <w:r w:rsidRPr="005F5447">
              <w:rPr>
                <w:color w:val="000000" w:themeColor="text1"/>
                <w:szCs w:val="24"/>
              </w:rPr>
              <w:t>Потребность в инвестициях</w:t>
            </w:r>
          </w:p>
        </w:tc>
        <w:tc>
          <w:tcPr>
            <w:tcW w:w="4961" w:type="dxa"/>
          </w:tcPr>
          <w:p w:rsidR="00F35B61" w:rsidRPr="00334A04" w:rsidRDefault="00334A04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515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pStyle w:val="a6"/>
              <w:jc w:val="both"/>
              <w:rPr>
                <w:color w:val="000000" w:themeColor="text1"/>
                <w:szCs w:val="24"/>
              </w:rPr>
            </w:pPr>
            <w:r w:rsidRPr="005F5447">
              <w:rPr>
                <w:color w:val="000000" w:themeColor="text1"/>
                <w:szCs w:val="24"/>
              </w:rPr>
              <w:t>Срок окупаемости</w:t>
            </w:r>
          </w:p>
        </w:tc>
        <w:tc>
          <w:tcPr>
            <w:tcW w:w="4961" w:type="dxa"/>
          </w:tcPr>
          <w:p w:rsidR="00F35B61" w:rsidRPr="00334A04" w:rsidRDefault="00334A04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участия инвестора</w:t>
            </w:r>
          </w:p>
        </w:tc>
        <w:tc>
          <w:tcPr>
            <w:tcW w:w="4961" w:type="dxa"/>
          </w:tcPr>
          <w:p w:rsidR="00F35B61" w:rsidRPr="005F5447" w:rsidRDefault="00F35B61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pStyle w:val="4"/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5F5447">
              <w:rPr>
                <w:color w:val="000000" w:themeColor="text1"/>
                <w:szCs w:val="24"/>
              </w:rPr>
              <w:t>Объем поступлений в бюджет</w:t>
            </w:r>
          </w:p>
        </w:tc>
        <w:tc>
          <w:tcPr>
            <w:tcW w:w="4961" w:type="dxa"/>
          </w:tcPr>
          <w:p w:rsidR="00F35B61" w:rsidRPr="005F5447" w:rsidRDefault="001116B5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275 млн рублей с 2020 по 2026гг 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Месторасположения </w:t>
            </w:r>
          </w:p>
        </w:tc>
        <w:tc>
          <w:tcPr>
            <w:tcW w:w="4961" w:type="dxa"/>
          </w:tcPr>
          <w:p w:rsidR="00F35B61" w:rsidRPr="00334A04" w:rsidRDefault="00334A04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Тимашевск, ул. Гибридная 2Ф2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961" w:type="dxa"/>
          </w:tcPr>
          <w:p w:rsidR="00F35B61" w:rsidRPr="005F5447" w:rsidRDefault="00334A04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4000м2</w:t>
            </w:r>
          </w:p>
        </w:tc>
      </w:tr>
      <w:tr w:rsidR="00F35B61" w:rsidRPr="0001612D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земель</w:t>
            </w:r>
          </w:p>
        </w:tc>
        <w:tc>
          <w:tcPr>
            <w:tcW w:w="4961" w:type="dxa"/>
          </w:tcPr>
          <w:p w:rsidR="00F35B61" w:rsidRPr="005F5447" w:rsidRDefault="001116B5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34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</w:t>
            </w:r>
            <w:r w:rsidR="00A12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ышленное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назначение</w:t>
            </w:r>
          </w:p>
        </w:tc>
      </w:tr>
      <w:tr w:rsidR="00F35B61" w:rsidRPr="00E80075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961" w:type="dxa"/>
          </w:tcPr>
          <w:p w:rsidR="00F35B61" w:rsidRPr="00334A04" w:rsidRDefault="005F5447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334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Pr="00334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0302000</w:t>
            </w:r>
            <w:r w:rsidRPr="00334A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:1038</w:t>
            </w:r>
          </w:p>
        </w:tc>
      </w:tr>
      <w:tr w:rsidR="00F35B61" w:rsidRPr="00E80075" w:rsidTr="0057773B">
        <w:tc>
          <w:tcPr>
            <w:tcW w:w="4536" w:type="dxa"/>
          </w:tcPr>
          <w:p w:rsidR="00F35B61" w:rsidRPr="005F5447" w:rsidRDefault="00F35B61" w:rsidP="005777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54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Географические координаты объекта </w:t>
            </w:r>
            <w:r w:rsidRPr="005F54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(координаты определять на </w:t>
            </w:r>
            <w:proofErr w:type="spellStart"/>
            <w:r w:rsidRPr="005F54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Яндекс.Карте</w:t>
            </w:r>
            <w:proofErr w:type="spellEnd"/>
            <w:r w:rsidRPr="005F54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правая кнопка мыши&gt; «что здесь»&gt; слева будут координаты при наведении появиться иконка «скопировать»)</w:t>
            </w:r>
          </w:p>
        </w:tc>
        <w:tc>
          <w:tcPr>
            <w:tcW w:w="4961" w:type="dxa"/>
          </w:tcPr>
          <w:p w:rsidR="00F35B61" w:rsidRPr="005F5447" w:rsidRDefault="008E6AC4" w:rsidP="0057773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45.637729/</w:t>
            </w:r>
            <w:r w:rsidR="001116B5" w:rsidRPr="001116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38.94503</w:t>
            </w:r>
            <w:bookmarkStart w:id="0" w:name="_GoBack"/>
            <w:bookmarkEnd w:id="0"/>
            <w:r w:rsidR="001116B5" w:rsidRPr="001116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35B61" w:rsidRDefault="00F35B61" w:rsidP="00F35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B61" w:rsidRDefault="00F35B61" w:rsidP="00F35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B61" w:rsidRDefault="00F35B61" w:rsidP="00F35B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5B61" w:rsidSect="00F35B6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1"/>
    <w:rsid w:val="001116B5"/>
    <w:rsid w:val="00127E26"/>
    <w:rsid w:val="001442C2"/>
    <w:rsid w:val="00150D67"/>
    <w:rsid w:val="00334A04"/>
    <w:rsid w:val="003D3944"/>
    <w:rsid w:val="00490695"/>
    <w:rsid w:val="005F5447"/>
    <w:rsid w:val="0064361A"/>
    <w:rsid w:val="0088219D"/>
    <w:rsid w:val="008E6AC4"/>
    <w:rsid w:val="009F2792"/>
    <w:rsid w:val="00A12FFB"/>
    <w:rsid w:val="00AF2A79"/>
    <w:rsid w:val="00BF6140"/>
    <w:rsid w:val="00F35B61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AC6A"/>
  <w15:chartTrackingRefBased/>
  <w15:docId w15:val="{2465387A-5D6F-4B3D-9F58-4047F32D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F35B61"/>
    <w:pPr>
      <w:keepNext/>
      <w:widowControl w:val="0"/>
      <w:spacing w:after="0" w:line="192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F35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F35B6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F35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6">
    <w:name w:val="Нормальный"/>
    <w:rsid w:val="00F35B6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Solodkov</dc:creator>
  <cp:keywords/>
  <dc:description/>
  <cp:lastModifiedBy>ГЛЭК</cp:lastModifiedBy>
  <cp:revision>11</cp:revision>
  <dcterms:created xsi:type="dcterms:W3CDTF">2021-12-08T07:59:00Z</dcterms:created>
  <dcterms:modified xsi:type="dcterms:W3CDTF">2023-02-27T11:12:00Z</dcterms:modified>
</cp:coreProperties>
</file>